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pacing w:val="10"/>
          <w:sz w:val="136"/>
          <w:szCs w:val="136"/>
        </w:rPr>
      </w:pPr>
      <w:r>
        <w:rPr>
          <w:rFonts w:hint="eastAsia" w:ascii="方正小标宋简体" w:eastAsia="方正小标宋简体"/>
          <w:color w:val="FF0000"/>
          <w:spacing w:val="10"/>
          <w:w w:val="50"/>
          <w:sz w:val="136"/>
          <w:szCs w:val="136"/>
        </w:rPr>
        <w:t>重庆长江黄金游轮有限公司</w:t>
      </w:r>
    </w:p>
    <w:p>
      <w:pPr>
        <w:spacing w:line="560" w:lineRule="exact"/>
        <w:ind w:firstLine="690" w:firstLineChars="50"/>
        <w:jc w:val="center"/>
        <w:rPr>
          <w:rFonts w:hint="eastAsia"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570855" cy="635"/>
                <wp:effectExtent l="0" t="23495" r="10795" b="3302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4762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5.95pt;height:0.05pt;width:438.65pt;z-index:251659264;mso-width-relative:page;mso-height-relative:page;" filled="f" stroked="t" coordsize="8773,1" o:gfxdata="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4n9Gz9QAAAAGAQAADwAA&#10;AAAAAAABACAAAAAiAAAAZHJzL2Rvd25yZXYueG1sUEsBAhQAFAAAAAgAh07iQNUFWScaAgAAPQQA&#10;AA4AAAAAAAAAAQAgAAAAIwEAAGRycy9lMm9Eb2MueG1sUEsFBgAAAAAGAAYAWQEAAK8FAAAAAA==&#10;" path="m0,0l8773,1e">
                <v:fill on="f" focussize="0,0"/>
                <v:stroke weight="3.75pt" color="#FE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0"/>
          <w:sz w:val="136"/>
          <w:szCs w:val="1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570855" cy="635"/>
                <wp:effectExtent l="0" t="13970" r="10795" b="2349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855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73" h="1">
                              <a:moveTo>
                                <a:pt x="0" y="0"/>
                              </a:moveTo>
                              <a:lnTo>
                                <a:pt x="8773" y="1"/>
                              </a:ln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E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13.75pt;height:0.05pt;width:438.65pt;z-index:251660288;mso-width-relative:page;mso-height-relative:page;" filled="f" stroked="t" coordsize="8773,1" o:gfxdata="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HZwm61gAAAAYBAAAP&#10;AAAAAAAAAAEAIAAAACIAAABkcnMvZG93bnJldi54bWxQSwECFAAUAAAACACHTuJAANkZCxoCAAA9&#10;BAAADgAAAAAAAAABACAAAAAlAQAAZHJzL2Uyb0RvYy54bWxQSwUGAAAAAAYABgBZAQAAsQUAAAAA&#10;" path="m0,0l8773,1e">
                <v:fill on="f" focussize="0,0"/>
                <v:stroke weight="2.25pt" color="#FE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52"/>
          <w:lang w:val="en-US" w:eastAsia="zh-CN" w:bidi="hi-I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52"/>
          <w:lang w:val="en-US" w:eastAsia="zh-CN" w:bidi="hi-IN"/>
        </w:rPr>
        <w:t>游轮电梯系统维修维保项目招选公告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150"/>
        <w:textAlignment w:val="auto"/>
        <w:outlineLvl w:val="9"/>
        <w:rPr>
          <w:rFonts w:hint="eastAsia" w:ascii="方正仿宋_GBK" w:hAnsi="方正楷体_GBK" w:eastAsia="方正仿宋_GBK" w:cs="方正楷体_GBK"/>
          <w:sz w:val="32"/>
          <w:szCs w:val="32"/>
          <w:lang w:val="ru-RU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ru-RU" w:eastAsia="zh-CN"/>
        </w:rPr>
        <w:t>各参选单位：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firstLine="640" w:firstLineChars="200"/>
        <w:textAlignment w:val="auto"/>
        <w:outlineLvl w:val="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zh-CN" w:eastAsia="zh-CN"/>
        </w:rPr>
        <w:t>一、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</w:rPr>
        <w:t>为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zh-CN"/>
        </w:rPr>
        <w:t>保证游轮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zh-CN" w:eastAsia="zh-CN"/>
        </w:rPr>
        <w:t>正常运行，提升游轮体验感</w:t>
      </w:r>
      <w:r>
        <w:rPr>
          <w:rFonts w:hint="eastAsia" w:ascii="方正仿宋_GBK" w:hAnsi="方正楷体_GBK" w:eastAsia="方正仿宋_GBK" w:cs="方正楷体_GBK"/>
          <w:sz w:val="32"/>
          <w:szCs w:val="32"/>
        </w:rPr>
        <w:t>。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将对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各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游轮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电梯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系统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维修维保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项目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进行招选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，欢迎有条件的单位参加此次</w:t>
      </w:r>
      <w:r>
        <w:rPr>
          <w:rFonts w:hint="eastAsia" w:ascii="方正仿宋_GBK" w:hAnsi="方正楷体_GBK" w:eastAsia="方正仿宋_GBK" w:cs="方正楷体_GBK"/>
          <w:sz w:val="32"/>
          <w:szCs w:val="32"/>
        </w:rPr>
        <w:t>投选。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我司将组织招选小组，根据公开、公平、公正为原则进行评定，具体内容及要求如下：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firstLine="640" w:firstLineChars="200"/>
        <w:textAlignment w:val="auto"/>
        <w:outlineLvl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ru-RU" w:eastAsia="zh-CN"/>
        </w:rPr>
        <w:t>招选内容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（一）项目要求（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具体内容详见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附件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项目涉及正常功能确认，并排除安全隐患，换件报批，维修质量需船方项目责任人认可，确保正常使用，年检船级社认可。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配合船级社对电梯的年度定期检验（提供每年电梯年检报告），并对因维修保养不良而产生的整改项目进行免费整改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具体内容可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自行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现场勘查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我司不组织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勘查。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（二）数量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8艘游轮共计40部电梯，其中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观光电梯2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台（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长江奇迹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4台，黄金2、3、5、6号各3台，黄金7、8号各2台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时光号1台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），货物电梯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（长江奇迹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2台，黄金2、3、5、6号各3台，黄金7、8号各2台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时光号1台）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维修维保期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1年，必须包含各游轮配合船级社至少1次年检。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黄金游轮公司所属游轮等。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6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60"/>
          <w:sz w:val="32"/>
          <w:szCs w:val="32"/>
        </w:rPr>
        <w:t>主要要求</w:t>
      </w:r>
      <w:r>
        <w:rPr>
          <w:rFonts w:hint="eastAsia" w:ascii="方正仿宋_GBK" w:hAnsi="方正仿宋_GBK" w:eastAsia="方正仿宋_GBK" w:cs="方正仿宋_GBK"/>
          <w:kern w:val="6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工程质量要求符合《工程施工质量验收规范》及满足船舶相关规范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标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准，同时满足船舶检验要求及使用要求。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firstLine="640" w:firstLineChars="200"/>
        <w:textAlignment w:val="auto"/>
        <w:outlineLvl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三、总价及单价限价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楷体_GBK" w:eastAsia="方正仿宋_GBK" w:cs="方正楷体_GBK"/>
          <w:sz w:val="32"/>
          <w:szCs w:val="32"/>
          <w:lang w:val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zh-CN"/>
        </w:rPr>
        <w:t>艘游轮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最高总限价</w:t>
      </w:r>
      <w:r>
        <w:rPr>
          <w:rFonts w:hint="eastAsia" w:ascii="方正仿宋_GBK" w:hAnsi="方正楷体_GBK" w:eastAsia="方正仿宋_GBK" w:cs="方正楷体_GBK"/>
          <w:color w:val="000000"/>
          <w:sz w:val="32"/>
          <w:szCs w:val="32"/>
          <w:lang w:val="en-US" w:eastAsia="zh-CN"/>
        </w:rPr>
        <w:t>19.80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zh-CN"/>
        </w:rPr>
        <w:t>万元。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注：该限价包括了项目所含的设施设备费、故障处理需更换的配件费、材料费、人工费、差旅费、施工人员的意外伤害保险费、机具（工具）费、服务费及各种应交纳的税费等提供服务所需要的其他一切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firstLine="640" w:firstLineChars="200"/>
        <w:textAlignment w:val="auto"/>
        <w:outlineLvl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楷体_GBK" w:eastAsia="方正仿宋_GBK" w:cs="方正楷体_GBK"/>
          <w:sz w:val="32"/>
          <w:szCs w:val="32"/>
          <w:lang w:val="ru-RU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竞选人须提供满足招选公告要求的有效资格证明文件，以证明其有相应的履行合同能力。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ru-RU" w:eastAsia="zh-CN"/>
        </w:rPr>
        <w:t>具有独立法人资格，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持有本项目经营范围内有效营业执照</w:t>
      </w:r>
      <w:r>
        <w:rPr>
          <w:rFonts w:hint="eastAsia" w:ascii="方正仿宋_GBK" w:hAnsi="方正楷体_GBK" w:eastAsia="方正仿宋_GBK" w:cs="方正楷体_GBK"/>
          <w:b/>
          <w:bCs/>
          <w:sz w:val="32"/>
          <w:szCs w:val="32"/>
          <w:lang w:val="ru-RU" w:eastAsia="zh-CN"/>
        </w:rPr>
        <w:t>（提供营业执照复印件并加盖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楷体_GBK" w:eastAsia="方正仿宋_GBK" w:cs="方正楷体_GBK"/>
          <w:b/>
          <w:bCs/>
          <w:sz w:val="32"/>
          <w:szCs w:val="32"/>
          <w:lang w:val="ru-RU" w:eastAsia="zh-CN"/>
        </w:rPr>
        <w:t>章）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right="0" w:rightChars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</w:rPr>
        <w:t>法定代表人身份证复印件、联系方式或法定代表人身份证复印件、授权委托书、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被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</w:rPr>
        <w:t>授权人身份证复印件、联系方式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（签字并加盖公章）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default" w:ascii="方正仿宋_GBK" w:hAnsi="方正楷体_GBK" w:eastAsia="方正仿宋_GBK" w:cs="方正楷体_GBK"/>
          <w:sz w:val="32"/>
          <w:szCs w:val="32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具备类似电梯设施设备维修维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保或施工业绩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（维保服务商应提供相应证明文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件，合同或发票或维修维保单复印件）。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right="0" w:rightChars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4、能按国家税务局规定开具的增值税专用发票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default" w:ascii="方正仿宋_GBK" w:hAnsi="方正楷体_GBK" w:eastAsia="方正仿宋_GBK" w:cs="方正楷体_GBK"/>
          <w:sz w:val="32"/>
          <w:szCs w:val="32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本项目不接受联合体、与发包人有厉害关系、存在控股及管理单位等违反招投标办法的企业或个人竞选（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default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7、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按照评分标准响应文件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outlineLvl w:val="0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五、竞选文件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竞选报价函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营业执照复印件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ru-RU" w:eastAsia="zh-CN" w:bidi="ar"/>
        </w:rPr>
        <w:t>（加盖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公章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ru-RU" w:eastAsia="zh-CN" w:bidi="ar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</w:rPr>
        <w:t>法定代表人身份证复印件、联系方式或法定代表人身份证复印件、授权委托书、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被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</w:rPr>
        <w:t>授权人身份证复印件、联系方式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具备类似电梯设施设备维修维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保或施工业绩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（供应商应提供相应证明文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件，合同或发票或维修维保单复印件）。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5、提供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开具相应税率增值税专用发票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的承诺（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default" w:ascii="方正仿宋_GBK" w:hAnsi="方正楷体_GBK" w:eastAsia="方正仿宋_GBK" w:cs="方正楷体_GBK"/>
          <w:sz w:val="32"/>
          <w:szCs w:val="32"/>
          <w:lang w:val="en-US" w:eastAsia="zh-CN"/>
        </w:rPr>
      </w:pP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具有独立承担民事责任的能力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本项目不接受联合体、与发包人有厉害关系、存在控股及管理单位等违反招投标办法的企业或个人竞选（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、提供按照甲方要求委派工人的承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9、提供委派工人的保险购买承诺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、提供按照甲方要求的时间完成维修维保的承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11、提供更换材料、设施设备产品合格证及真伪证明等材料的承诺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12、为了杜绝在本项目中出现材料、设施设备以次充好、贴牌、串货无厂家质保等问题，使本项目能够享有设备厂家的优质售后服务，供应商更换相应材料、设施设备需提供产品质量及真伪证明等材料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法定代表人签字及加盖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20" w:lineRule="exact"/>
        <w:ind w:left="0" w:leftChars="0" w:right="0" w:firstLine="640" w:firstLineChars="200"/>
        <w:rPr>
          <w:rFonts w:hint="default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13、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按照评分标准响应文件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  <w:lang w:val="en-US" w:eastAsia="zh-CN"/>
        </w:rPr>
        <w:t>自行提供承诺</w:t>
      </w:r>
      <w:r>
        <w:rPr>
          <w:rFonts w:hint="eastAsia" w:ascii="方正仿宋_GBK" w:hAnsi="方正仿宋_GBK" w:eastAsia="方正仿宋_GBK" w:cs="方正仿宋_GBK"/>
          <w:b/>
          <w:bCs/>
          <w:spacing w:val="5"/>
          <w:position w:val="2"/>
          <w:sz w:val="32"/>
          <w:szCs w:val="32"/>
        </w:rPr>
        <w:t>并加盖公章</w:t>
      </w:r>
      <w:r>
        <w:rPr>
          <w:rFonts w:hint="eastAsia" w:ascii="方正仿宋_GBK" w:hAnsi="方正仿宋_GBK" w:eastAsia="方正仿宋_GBK" w:cs="方正仿宋_GBK"/>
          <w:spacing w:val="5"/>
          <w:position w:val="2"/>
          <w:sz w:val="32"/>
          <w:szCs w:val="32"/>
          <w:lang w:val="en-US" w:eastAsia="zh-CN"/>
        </w:rPr>
        <w:t>）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3" w:firstLineChars="200"/>
        <w:textAlignment w:val="auto"/>
        <w:outlineLvl w:val="9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注：竞选文件贰份，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纸质版正本、副本各一份（分别装订成册，正、副本不一致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时，以正本为准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left="0" w:leftChars="0" w:right="0" w:firstLine="640" w:firstLineChars="200"/>
        <w:outlineLvl w:val="0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六、评分办法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符合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资格条件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，采取综合评估法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附件1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总分100分，其中报价部分80分，商务技术部分20分。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招选人将依照相关规定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进行评分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综合评分由高到低的顺序进行排名，综合评分最高的供应商为中标候选人。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报</w:t>
      </w:r>
      <w:r>
        <w:rPr>
          <w:rFonts w:hint="eastAsia" w:ascii="方正仿宋_GBK" w:hAnsi="方正楷体_GBK" w:eastAsia="方正仿宋_GBK" w:cs="方正楷体_GBK"/>
          <w:kern w:val="2"/>
          <w:sz w:val="32"/>
          <w:szCs w:val="32"/>
          <w:lang w:val="en-US" w:eastAsia="zh-CN" w:bidi="ar-SA"/>
        </w:rPr>
        <w:t>价包括了项目所含的设施设备费、材料费、人工费、差旅费、施工人员的意外伤害保险费、机具（工具）费、服务费及各种应纳的税费等提供服务所需要的其他一切相关费用。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因中选供应商自身原因造成漏报、少报皆自行承担责任，采购人不再补偿。总报价超过总限价视为无效报价。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部分投标被否决，导致有效投标人不足三个的，评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选小组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应当否决所有投标。但是有效投标人的经济、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资质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等指标仍然具有市场竞争力，能够满足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招选公告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要求的，评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选小组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ru-RU" w:eastAsia="zh-CN" w:bidi="ar"/>
        </w:rPr>
        <w:t>可以继续评标并确定中选候选人。</w:t>
      </w:r>
    </w:p>
    <w:p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wordWrap/>
        <w:topLinePunct w:val="0"/>
        <w:bidi w:val="0"/>
        <w:spacing w:line="520" w:lineRule="exact"/>
        <w:ind w:left="0" w:leftChars="0" w:right="0" w:firstLine="640" w:firstLineChars="200"/>
        <w:outlineLvl w:val="0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结算方式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按照合同条款约定办理支付（注：无预付款）。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20" w:lineRule="exact"/>
        <w:ind w:left="0" w:leftChars="0" w:right="0" w:firstLine="640" w:firstLineChars="200"/>
        <w:outlineLvl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八、时间及要求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截止时间：2026年4月13日14时30分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 xml:space="preserve">竞选时间：2026年4月13日14时30分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评选地点：重庆市江北区北滨一路526号2楼会议室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联系人：罗老师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、杨老师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电话：023-67948380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20" w:lineRule="exact"/>
        <w:ind w:left="0" w:leftChars="0" w:right="0" w:firstLine="643" w:firstLineChars="200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注：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开标时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需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单独携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带营业执照、法定代表人身份证或授权委托书、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被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授权委托人身份证复印件并加盖公司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 w:bidi="ar"/>
        </w:rPr>
        <w:t>投选书投递方式：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按照相关时间直接送到我司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参加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竞选。竞选文件须密封于不透光的文件袋中，并加盖骑缝章，封面按照竞选项目注明，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 w:bidi="ar"/>
        </w:rPr>
        <w:t>封面注明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游轮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电梯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系统</w:t>
      </w:r>
      <w:r>
        <w:rPr>
          <w:rFonts w:hint="eastAsia" w:ascii="方正仿宋_GBK" w:hAnsi="方正楷体_GBK" w:eastAsia="方正仿宋_GBK" w:cs="方正楷体_GBK"/>
          <w:sz w:val="32"/>
          <w:szCs w:val="32"/>
          <w:lang w:val="en-US" w:eastAsia="zh-CN"/>
        </w:rPr>
        <w:t>维修维保</w:t>
      </w:r>
      <w:r>
        <w:rPr>
          <w:rFonts w:hint="eastAsia" w:ascii="方正仿宋_GBK" w:hAnsi="方正楷体_GBK" w:eastAsia="方正仿宋_GBK" w:cs="方正楷体_GBK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”，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我公司不接受传真或电子版投选书。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outlineLvl w:val="9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val="en-US" w:eastAsia="zh-CN" w:bidi="ar"/>
        </w:rPr>
        <w:t>附件：1、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1600" w:firstLineChars="5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合同模板</w:t>
      </w:r>
    </w:p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招选单位：重庆长江黄金游轮有限公司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center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日</w:t>
      </w:r>
    </w:p>
    <w:p>
      <w:pPr>
        <w:pStyle w:val="2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评分标准</w:t>
      </w:r>
    </w:p>
    <w:tbl>
      <w:tblPr>
        <w:tblStyle w:val="7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373"/>
        <w:gridCol w:w="792"/>
        <w:gridCol w:w="365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noWrap w:val="0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评分因素</w:t>
            </w:r>
          </w:p>
          <w:p>
            <w:pPr>
              <w:spacing w:line="240" w:lineRule="atLeast"/>
              <w:ind w:firstLine="28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及权重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分值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评分标准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spacing w:line="240" w:lineRule="atLeast"/>
              <w:ind w:firstLine="28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（80%）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80分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初步评审合格后的所有有效评标价，取有效报价的平均值，平均值为有效基准价，每高出1000元扣2分，依此类推，扣完为止。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每低于1000元扣1分，依此类推，扣完为止。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评标价得分最终结果取小数点后两位，第三位四舍五入。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商务技术部分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（20%）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服务团队（5分）：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至少提供相关项目专业技术人员证明2人，2人以上多1名得1分，以此类推，最多得5分（出具2025年10月-2026年2月期间至少3个月以上缴纳社保凭证复印件或用工合同，提供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合同需复印员工身份证），不满足不得分。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提供复印件并加盖投标人公章。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业绩证明（5分）：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至少提供2019年至今满足船舶营运规范并有维维修保或施工业绩三份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，3份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得1分，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多1份得1分，以此类推，最多得5分，不满足不得分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（出具相关合同或发票复印件或维修维保单复印件）。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提供复印件并加盖投标人公章。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管理方案（5分）：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提供企业优秀的切实可行的防火、防意外的安全措施，人员技能培养和其他管理方案等，方案一般得2分，良好3-4分，优秀得5分，不满足不得分。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施工方案（5分）：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提供切实可行的维修维保安排计划；有效的确保工程质量的技术组织措施；确保工期的计划组织措施；确保文明施工的技术组织措施；方案一般得2分，良好3-4分，优秀得5分，不满足不得分。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加盖投标人公章。</w:t>
            </w:r>
          </w:p>
        </w:tc>
      </w:tr>
    </w:tbl>
    <w:p/>
    <w:sectPr>
      <w:headerReference r:id="rId3" w:type="default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2FC8F3"/>
    <w:multiLevelType w:val="singleLevel"/>
    <w:tmpl w:val="BB2FC8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1E0125"/>
    <w:multiLevelType w:val="singleLevel"/>
    <w:tmpl w:val="EA1E01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EF9C79"/>
    <w:multiLevelType w:val="singleLevel"/>
    <w:tmpl w:val="5CEF9C7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750C3D81"/>
    <w:multiLevelType w:val="singleLevel"/>
    <w:tmpl w:val="750C3D81"/>
    <w:lvl w:ilvl="0" w:tentative="0">
      <w:start w:val="7"/>
      <w:numFmt w:val="chineseCounting"/>
      <w:suff w:val="nothing"/>
      <w:lvlText w:val="%1、"/>
      <w:lvlJc w:val="left"/>
      <w:pPr>
        <w:ind w:left="585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3C72"/>
    <w:rsid w:val="08B70DB2"/>
    <w:rsid w:val="08D3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customStyle="1" w:styleId="10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2026-03-27T04:04:00Z</dcterms:created>
  <dc:creator>肥尾</dc:creator>
  <cp:lastModifiedBy>Strong</cp:lastModifiedBy>
  <dcterms:modified xsi:type="dcterms:W3CDTF">2026-04-10T03:33:01Z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22AC35C3FBEE46D8960E6A216DC098E6_11</vt:lpwstr>
  </property>
  <property fmtid="{D5CDD505-2E9C-101B-9397-08002B2CF9AE}" pid="4" name="KSOTemplateDocerSaveRecord">
    <vt:lpwstr>eyJoZGlkIjoiYjYwMzFhNmU5ZWIwZWU4NWExZmYzYjA4Y2I3NWYwNDgiLCJ1c2VySWQiOiI5NzYyMDM1MTcifQ==</vt:lpwstr>
  </property>
</Properties>
</file>